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1"/>
        <w:shd w:val="clear" w:color="auto" w:fill="auto"/>
        <w:spacing w:before="0" w:after="0"/>
        <w:ind w:left="140" w:hanging="0"/>
        <w:jc w:val="right"/>
        <w:rPr/>
      </w:pPr>
      <w:r>
        <w:rPr>
          <w:rStyle w:val="2"/>
          <w:color w:val="000000"/>
        </w:rPr>
        <w:t>Приложение 2</w:t>
      </w:r>
    </w:p>
    <w:p>
      <w:pPr>
        <w:pStyle w:val="21"/>
        <w:shd w:val="clear" w:color="auto" w:fill="auto"/>
        <w:spacing w:before="0" w:after="0"/>
        <w:ind w:left="140" w:hanging="0"/>
        <w:jc w:val="right"/>
        <w:rPr/>
      </w:pPr>
      <w:r>
        <w:rPr>
          <w:rStyle w:val="2"/>
          <w:color w:val="000000"/>
        </w:rPr>
        <w:t xml:space="preserve">к государственной программе </w:t>
      </w:r>
    </w:p>
    <w:p>
      <w:pPr>
        <w:pStyle w:val="21"/>
        <w:shd w:val="clear" w:color="auto" w:fill="auto"/>
        <w:spacing w:before="0" w:after="0"/>
        <w:ind w:left="140" w:hanging="0"/>
        <w:jc w:val="right"/>
        <w:rPr/>
      </w:pPr>
      <w:r>
        <w:rPr>
          <w:rStyle w:val="2"/>
          <w:color w:val="000000"/>
        </w:rPr>
        <w:t>«Развитие промышленности,</w:t>
      </w:r>
    </w:p>
    <w:p>
      <w:pPr>
        <w:pStyle w:val="21"/>
        <w:shd w:val="clear" w:color="auto" w:fill="auto"/>
        <w:spacing w:before="0" w:after="0"/>
        <w:ind w:left="140" w:hanging="0"/>
        <w:jc w:val="right"/>
        <w:rPr/>
      </w:pPr>
      <w:r>
        <w:rPr>
          <w:rStyle w:val="2"/>
          <w:color w:val="000000"/>
        </w:rPr>
        <w:t>транспорта и связи Брянской области»</w:t>
      </w:r>
    </w:p>
    <w:p>
      <w:pPr>
        <w:pStyle w:val="21"/>
        <w:shd w:val="clear" w:color="auto" w:fill="auto"/>
        <w:spacing w:before="0" w:after="0"/>
        <w:ind w:left="140" w:hanging="0"/>
        <w:jc w:val="center"/>
        <w:rPr>
          <w:rStyle w:val="2"/>
          <w:color w:val="000000"/>
        </w:rPr>
      </w:pPr>
      <w:r>
        <w:rPr/>
      </w:r>
    </w:p>
    <w:p>
      <w:pPr>
        <w:pStyle w:val="21"/>
        <w:shd w:val="clear" w:color="auto" w:fill="auto"/>
        <w:spacing w:before="0" w:after="0"/>
        <w:ind w:left="140" w:hanging="0"/>
        <w:jc w:val="center"/>
        <w:rPr/>
      </w:pPr>
      <w:r>
        <w:rPr>
          <w:rStyle w:val="2"/>
          <w:color w:val="000000"/>
        </w:rPr>
        <w:t>ПОРЯДОК</w:t>
      </w:r>
    </w:p>
    <w:p>
      <w:pPr>
        <w:pStyle w:val="21"/>
        <w:shd w:val="clear" w:color="auto" w:fill="auto"/>
        <w:spacing w:before="0" w:after="0"/>
        <w:ind w:left="140" w:hanging="0"/>
        <w:jc w:val="center"/>
        <w:rPr>
          <w:rStyle w:val="2"/>
          <w:color w:val="000000"/>
        </w:rPr>
      </w:pPr>
      <w:r>
        <w:rPr>
          <w:rStyle w:val="2"/>
          <w:color w:val="000000"/>
        </w:rPr>
        <w:t>предоставления бюджетам муниципальных районов (муниципальных округов, городских округов) субсидий</w:t>
      </w:r>
      <w:r>
        <w:rPr/>
        <w:t xml:space="preserve"> </w:t>
      </w:r>
      <w:r>
        <w:rPr>
          <w:rStyle w:val="2"/>
          <w:color w:val="000000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</w:t>
      </w:r>
      <w:bookmarkStart w:id="0" w:name="_Hlk89705030"/>
      <w:bookmarkEnd w:id="0"/>
    </w:p>
    <w:p>
      <w:pPr>
        <w:pStyle w:val="21"/>
        <w:shd w:val="clear" w:color="auto" w:fill="auto"/>
        <w:spacing w:before="0" w:after="0"/>
        <w:ind w:left="140" w:hanging="0"/>
        <w:jc w:val="center"/>
        <w:rPr/>
      </w:pPr>
      <w:r>
        <w:rPr/>
      </w:r>
    </w:p>
    <w:p>
      <w:pPr>
        <w:pStyle w:val="21"/>
        <w:numPr>
          <w:ilvl w:val="0"/>
          <w:numId w:val="1"/>
        </w:numPr>
        <w:shd w:val="clear" w:color="auto" w:fill="auto"/>
        <w:tabs>
          <w:tab w:val="clear" w:pos="708"/>
          <w:tab w:val="left" w:pos="1286" w:leader="none"/>
        </w:tabs>
        <w:spacing w:lineRule="auto" w:line="240" w:before="0" w:after="0"/>
        <w:ind w:firstLine="709"/>
        <w:jc w:val="both"/>
        <w:rPr/>
      </w:pPr>
      <w:r>
        <w:rPr>
          <w:rStyle w:val="2"/>
          <w:color w:val="000000"/>
        </w:rPr>
        <w:t xml:space="preserve">Настоящий Порядок предоставления бюджетам муниципальных районов (муниципальных округов, городских округов) (далее – муниципальных образований) субсидий на </w:t>
      </w:r>
      <w:bookmarkStart w:id="1" w:name="_Hlk89760404"/>
      <w:bookmarkStart w:id="2" w:name="_Hlk90636408"/>
      <w:r>
        <w:rPr>
          <w:rStyle w:val="2"/>
          <w:color w:val="000000"/>
        </w:rPr>
        <w:t>реализацию инфраструктурных проектов</w:t>
      </w:r>
      <w:bookmarkEnd w:id="2"/>
      <w:r>
        <w:rPr>
          <w:rStyle w:val="2"/>
          <w:color w:val="000000"/>
        </w:rPr>
        <w:t>, отобранных в соответствии с правилами отбора, утвержденными постановлением Правительства Российской Федерации от 14 июля 2021 года № 1189</w:t>
      </w:r>
      <w:bookmarkEnd w:id="1"/>
      <w:r>
        <w:rPr>
          <w:rStyle w:val="2"/>
          <w:color w:val="000000"/>
        </w:rPr>
        <w:t xml:space="preserve"> (далее - Порядок) разработан в соответствии с постановлениями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 (далее - Правила), от 18 октября 2021 года № 436-п «Об утверждении предельных уровней софинансирования (в процентах) объема расходного обязательства муниципальных образований из областного бюджета на 2022 год и на плановый период 2023 и 2024 годов в отношении субсидий, предоставляемых в целях софинансирования расходных обязательств муниципальных образований», в целях предоставления бюджетам муниципальных образований субсидий на реализацию инфраструктурных проектов, отобранных в соответствии с правилами отбора, согласно настоящего Порядка (далее - субсидии) и определяет цели предоставления, критерии отбора муниципальных образований для предоставления субсидий, порядок распределения субсидий, порядок и форму отчета об их использовании.</w:t>
      </w:r>
    </w:p>
    <w:p>
      <w:pPr>
        <w:pStyle w:val="21"/>
        <w:numPr>
          <w:ilvl w:val="0"/>
          <w:numId w:val="1"/>
        </w:numPr>
        <w:shd w:val="clear" w:color="auto" w:fill="auto"/>
        <w:tabs>
          <w:tab w:val="clear" w:pos="708"/>
          <w:tab w:val="left" w:pos="1218" w:leader="none"/>
        </w:tabs>
        <w:spacing w:lineRule="auto" w:line="240" w:before="0" w:after="0"/>
        <w:ind w:firstLine="709"/>
        <w:jc w:val="both"/>
        <w:rPr/>
      </w:pPr>
      <w:r>
        <w:rPr>
          <w:rStyle w:val="2"/>
          <w:color w:val="000000"/>
        </w:rPr>
        <w:t xml:space="preserve">Субсидии предоставляются бюджетам муниципальных образований Брянской области в рамках реализации государственной программы «Развитие промышленности, транспорта и связи Брянской области» в целях реализации инфраструктурных проектов, отобранных в соответствии с правилами отбора, в соответствии с настоящим Порядком и направляются на </w:t>
      </w:r>
      <w:r>
        <w:rPr>
          <w:color w:val="000000"/>
          <w:shd w:fill="FFFFFF" w:val="clear"/>
        </w:rPr>
        <w:t>приобретение троллейбусов, техническое перевооружение, капитальный ремонт кабельных линий контактной сети и опор контактной сети троллейбуса энергохозяйства (в том числе проектно-сметная документация), реконструкцию тяговых подстанций энергохозяйства (в том числе проектно-сметная документация), строительство тяговой подстанции и кабельных линий энергохозяйства (в том числе проектно-сметная документация)</w:t>
      </w:r>
      <w:r>
        <w:rPr>
          <w:rStyle w:val="2"/>
          <w:color w:val="000000"/>
        </w:rPr>
        <w:t>.</w:t>
      </w:r>
    </w:p>
    <w:p>
      <w:pPr>
        <w:pStyle w:val="21"/>
        <w:numPr>
          <w:ilvl w:val="0"/>
          <w:numId w:val="1"/>
        </w:numPr>
        <w:shd w:val="clear" w:color="auto" w:fill="auto"/>
        <w:tabs>
          <w:tab w:val="clear" w:pos="708"/>
          <w:tab w:val="left" w:pos="1279" w:leader="none"/>
        </w:tabs>
        <w:spacing w:lineRule="auto" w:line="240" w:before="0" w:after="0"/>
        <w:ind w:firstLine="709"/>
        <w:jc w:val="both"/>
        <w:rPr/>
      </w:pPr>
      <w:r>
        <w:rPr>
          <w:rStyle w:val="2"/>
          <w:color w:val="000000"/>
        </w:rPr>
        <w:t>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>
      <w:pPr>
        <w:pStyle w:val="21"/>
        <w:shd w:val="clear" w:color="auto" w:fill="auto"/>
        <w:tabs>
          <w:tab w:val="clear" w:pos="708"/>
          <w:tab w:val="left" w:pos="1279" w:leader="none"/>
        </w:tabs>
        <w:spacing w:lineRule="auto" w:line="240" w:before="0" w:after="0"/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>а)</w:t>
        <w:tab/>
        <w:t>наличие перечня мероприятий, утвержденных правовыми актами муниципального образования в соответствии с требованиями нормативных правовых актов Брянской области, на софинансирование которых осуществляется предоставление субсидии;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</w:rPr>
        <w:t xml:space="preserve">б) наличие ассигнований в бюджетах муниципальных образований в объеме, определяемом исходя из уровней софинансирования из областного бюджета расходных обязательств субъекта, установленных постановлением Правительства Брянской области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от 18 октября 2021 года № 436-п «Об утверждении предельных уровней софинансирования (в процентах) объема расходного обязательства муниципальных образований из областного бюджета на 2022 год и на плановый период 2023 и 2024 годов в отношении субсидий, предоставляемых в целях софинансирования расходных обязательств муниципальных образований»;</w:t>
      </w:r>
    </w:p>
    <w:p>
      <w:pPr>
        <w:pStyle w:val="Normal"/>
        <w:widowControl w:val="false"/>
        <w:tabs>
          <w:tab w:val="clear" w:pos="708"/>
          <w:tab w:val="left" w:pos="145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в)</w:t>
        <w:tab/>
        <w:t>заключение соглашения о предоставлении субсидии из областного бюджета бюджетам муниципальных образований в соответствии с пунктом 10 Правил;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г)</w:t>
        <w:tab/>
        <w:t>наличие утвержденных в установленном порядке программ на реализацию инфраструктурных проектов, отобранных в соответствии с правилами отбора, согласно настоящего Порядка.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не может превышать предельного уровня софинансирования расходных обязательств субъекта, установленного постановлением Правительства Брянской области от 18 октября 2021 года № 436-п «Об утверждении предельных уровней софинансирования (в процентах) объема расходного обязательства муниципальных образований из областного бюджета на 2022 год и на плановый период 2023 и 2024 годов в отношении субсидий, предоставляемых в целях софинансирования расходных обязательств муниципальных образований».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457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Главным распорядителем средств областного бюджета является департамент промышленности, транспорта и связи Брянской области (далее – Департамент).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457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Критерием отбора муниципальных образований для предоставления субсидий на реализацию инфраструктурных проектов является наличие контактной сети троллейбусной системы.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Департамент проводит отбор муниципальных образований Брянской области для выделения субсидии с учетом критериев, предусмотренных в пункте 6 настоящего Порядка.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Распределение субсидий муниципальным образованиям утверждается законом Брянской области об областном бюджете на очередной финансовый год и плановый период.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457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Субсидии предоставляются на основании соглашения о предоставлении субсидии, заключаемого между Департаментом и администрациями муниципальных образований Брянской области.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Департамент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софинансирование из местных бюджетов в объеме, установленном подпунктом «б» пункта 3 настоящего Порядка, а так же документов, перечисленных в пункте 12</w:t>
      </w:r>
      <w:r>
        <w:rPr>
          <w:rFonts w:eastAsia="Times New Roman"/>
          <w:color w:val="000000"/>
          <w:shd w:fill="FFFFFF" w:val="clear"/>
        </w:rPr>
        <w:t xml:space="preserve"> </w:t>
      </w: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настоящего Порядка, перечисляет субсидии бюджетам муниципальных образований.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Департамент перечисляет субсидию из областного бюджета в бюджет муниципального образования в установленном порядке на казначейский счет, для осуществления и отражений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Администрации муниципальных образований представляют Департаменту, по форме и в срок, установленные в соглашении: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- отчет об освоении средств субсидии из областного бюджета и средств софинансирования из местных бюджетов;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- отчет о достижении значений показателей результата предоставления субсидии.</w:t>
      </w:r>
    </w:p>
    <w:p>
      <w:pPr>
        <w:pStyle w:val="ListParagraph"/>
        <w:widowControl w:val="false"/>
        <w:numPr>
          <w:ilvl w:val="1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Показателями результата использования субсидии, устанавливаемым в соглашении о предоставлении субсидии, заключаемом между Департаментом и администрациями муниципальных образований Брянской области, являются коэффициент доступности транспортных средств для маломобильных групп населения, коэффициент технической готовности подвижного состава. Значение показателей результата использования субсидии предоставляется администрациями муниципальных образований в адрес главного распорядителя бюджетных средств ежеквартально </w:t>
      </w:r>
      <w:r>
        <w:rPr>
          <w:rFonts w:eastAsia="Times New Roman" w:ascii="Times New Roman" w:hAnsi="Times New Roman"/>
          <w:sz w:val="28"/>
          <w:szCs w:val="28"/>
          <w:shd w:fill="FFFFFF" w:val="clear"/>
          <w:lang w:eastAsia="ru-RU"/>
        </w:rPr>
        <w:t>(</w:t>
      </w:r>
      <w:r>
        <w:rPr>
          <w:rFonts w:ascii="Times New Roman" w:hAnsi="Times New Roman"/>
          <w:sz w:val="28"/>
          <w:szCs w:val="28"/>
          <w:shd w:fill="FFFFFF" w:val="clear"/>
        </w:rPr>
        <w:t>не позднее 15 календарных дней со дня окончания соответствующего отчетного периода)</w:t>
      </w: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.   </w:t>
      </w:r>
    </w:p>
    <w:p>
      <w:pPr>
        <w:pStyle w:val="ListParagraph"/>
        <w:widowControl w:val="false"/>
        <w:numPr>
          <w:ilvl w:val="1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Оценка эффективности использования муниципальным образованием субсидии осуществляется ежегодно департаментом промышленности, транспорта и связи Брянской области исходя из достигнутых муниципальным образованием значений показателей результата использования субсидии.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Департамент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15.</w:t>
        <w:tab/>
        <w:t>Органы местного самоуправления муниципальных образований осуществляют закупки на реализацию инфраструктурных проектов, отобранных в соответствии с правилами отбора, согласно настоящего Порядка,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заключают муниципальные контракты на реализацию инфраструктурных проектов.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shd w:fill="FBFBFB" w:val="clear"/>
        </w:rPr>
      </w:pPr>
      <w:r>
        <w:rPr>
          <w:rFonts w:eastAsia="Times New Roman" w:ascii="Times New Roman" w:hAnsi="Times New Roman"/>
          <w:sz w:val="28"/>
          <w:szCs w:val="28"/>
          <w:shd w:fill="FFFFFF" w:val="clear"/>
        </w:rPr>
        <w:t>16. Органы местного самоуправления осуществляют проверку правильности составления сметной документации,</w:t>
      </w:r>
      <w:r>
        <w:rPr>
          <w:rFonts w:cs="Arial" w:ascii="Arial" w:hAnsi="Arial"/>
          <w:sz w:val="20"/>
          <w:szCs w:val="20"/>
          <w:shd w:fill="FBFBFB" w:val="clear"/>
        </w:rPr>
        <w:t xml:space="preserve"> </w:t>
      </w:r>
      <w:r>
        <w:rPr>
          <w:rFonts w:ascii="Times New Roman" w:hAnsi="Times New Roman"/>
          <w:sz w:val="28"/>
          <w:szCs w:val="28"/>
          <w:shd w:fill="FBFBFB" w:val="clear"/>
        </w:rPr>
        <w:t xml:space="preserve">достоверности определения сметной стоимости объекта капитального строительства в рамках действующего законодательства, самостоятельно либо с привлечением экспертных лицензированных организаций, а также осуществляют строительный контроль </w:t>
      </w:r>
      <w:r>
        <w:rPr>
          <w:rFonts w:ascii="Times New Roman" w:hAnsi="Times New Roman"/>
          <w:sz w:val="28"/>
          <w:szCs w:val="28"/>
          <w:shd w:fill="FFFFFF" w:val="clear"/>
        </w:rPr>
        <w:t>при осуществлении строительства, реконструкции объектов капитального строительства.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17.</w:t>
        <w:tab/>
        <w:t>Органы местного самоуправления представляют главному распорядителю бюджетных средств документы (заверенные копии документов), подтверждающие производимые расходы (протоколы торгов (конкурсов), муниципальные контракты на реализацию инфраструктурных проектов, отобранных в соответствии с правилами отбора, в соответствии с Порядком, накладные, акты выполненных работ, сметные расчеты, счета-фактуры, и другие документы по требованию главного распорядителя бюджетных средств).</w:t>
      </w:r>
      <w:bookmarkStart w:id="3" w:name="_Hlk89774542"/>
      <w:bookmarkEnd w:id="3"/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18.</w:t>
        <w:tab/>
        <w:t>Департамент ежеквартально, в срок до 15-го числа месяца, следующего за отчетным периодом, представляет департаменту финансов Брянской области отчет об использовании бюджетных средств на реализацию инфраструктурных проектов, отобранных в соответствии с правилами отбора, в соответствии с Порядком, по форме согласно приложению к настоящему Порядку.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19. В случае нарушения муниципальным образованием условий предоставления субсидий,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действующим законодательством.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20. Неиспользованный остаток средств субсидии по итогам года подлежит возврату в областной бюджет.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21.</w:t>
        <w:tab/>
        <w:t>Контроль за использованием средств субсидии, соблюдением муниципальными образованиями условий предоставления субсидий, достижением значений показателей результата использования субсидий осуществляется органами местного самоуправления муниципальных образований, Департаментом, а также иными органами, осуществляющими функции по контролю и надзору в финансово-бюджетной сфере, в соответствии с действующим законодательством.</w:t>
      </w:r>
    </w:p>
    <w:p>
      <w:pPr>
        <w:pStyle w:val="Normal"/>
        <w:widowControl w:val="false"/>
        <w:tabs>
          <w:tab w:val="clear" w:pos="708"/>
          <w:tab w:val="left" w:pos="1578" w:leader="none"/>
        </w:tabs>
        <w:spacing w:lineRule="auto" w:line="240" w:before="0" w:after="0"/>
        <w:ind w:right="57" w:firstLine="709"/>
        <w:jc w:val="both"/>
        <w:rPr>
          <w:rFonts w:ascii="Times New Roman" w:hAnsi="Times New Roman" w:eastAsia="Times New Roman"/>
          <w:color w:val="000000"/>
          <w:sz w:val="28"/>
          <w:szCs w:val="28"/>
          <w:shd w:fill="FFFFFF" w:val="clear"/>
        </w:rPr>
      </w:pPr>
      <w:r>
        <w:rPr>
          <w:rFonts w:eastAsia="Times New Roman" w:ascii="Times New Roman" w:hAnsi="Times New Roman"/>
          <w:color w:val="000000"/>
          <w:sz w:val="28"/>
          <w:szCs w:val="28"/>
          <w:shd w:fill="FFFFFF" w:val="clear"/>
        </w:rPr>
        <w:t>22.</w:t>
        <w:tab/>
        <w:t>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порядком, установленным действующим законодательством.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распределения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промышленности, транспорта и связи  Брянской области»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Субсидии предоставляются бюджетам муниципальных районов (муниципальных округов, городских округов) (далее – муниципальные образования)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промышленности, транспорта и связи Брянской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Ci = C x Vi / V,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Ci - размер субсидии бюджету i-го муниципального образования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 - общий объем субсидий, выделяемых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промышленности, транспорта и связи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 - общий объем средств, выделяемый департаментом промышленности, транспорта и связи Брянской области, согласно представленным муниципальными образованиями заявкам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промышленности, транспорта и связи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 - объем средств, необходимый i-му муниципальному образованию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промышленности, транспорта и связи Брянской области» на соответствующий финансовый год, согласно представленной заявке.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1+</w:t>
      </w:r>
      <w:bookmarkStart w:id="4" w:name="_Hlk97288417"/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2</w:t>
      </w:r>
      <w:bookmarkEnd w:id="4"/>
      <w:r>
        <w:rPr>
          <w:rFonts w:ascii="Times New Roman" w:hAnsi="Times New Roman"/>
          <w:sz w:val="28"/>
          <w:szCs w:val="28"/>
        </w:rPr>
        <w:t xml:space="preserve">+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3+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4+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5,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1 – объем средств, необходимый i-му муниципальному образованию на приобретение троллейбусов;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2 – объем средств, необходимый i-му муниципальному образованию на осуществление технического перевооружения МУП «Брянское троллейбусное управление» г. Брянска;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3 – объем средств, необходимый i-му муниципальному образованию на осуществление реконструкции тяговых подстанций энергохозяйства МУП «Брянское троллейбусное управление» г. Брянска (в том числе проектно-сметная документация);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4 – объем средств, необходимый i-му муниципальному образованию на осуществление строительства тяговой подстанции и кабельных линий энергохозяйства МУП «Брянское троллейбусное управление» г. Брянска (в том числе проектно-сметная документация);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5 – объем средств, необходимый i-му муниципальному образованию на осуществление капитального ремонта кабельных линий, контактной сети и опор контактной сети троллейбуса энергохозяйства МУП «Брянское троллейбусное управление» г. Брянска (в том числе проектно-сметная документация).».  </w:t>
      </w:r>
    </w:p>
    <w:tbl>
      <w:tblPr>
        <w:tblStyle w:val="a4"/>
        <w:tblpPr w:vertAnchor="text" w:horzAnchor="margin" w:tblpXSpec="right" w:leftFromText="180" w:rightFromText="180" w:tblpY="301"/>
        <w:tblW w:w="5083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83"/>
      </w:tblGrid>
      <w:tr>
        <w:trPr>
          <w:trHeight w:val="1983" w:hRule="atLeast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  <w:t>Приложение</w:t>
            </w:r>
          </w:p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  <w:t xml:space="preserve">к Порядку предоставления субсидии бюджетам муниципальных образований субсидий на </w:t>
            </w:r>
            <w:bookmarkStart w:id="5" w:name="_Hlk906365691"/>
            <w:r>
              <w:rPr>
                <w:rStyle w:val="2"/>
                <w:color w:val="000000"/>
                <w:kern w:val="0"/>
                <w:lang w:val="ru-RU" w:bidi="ar-SA"/>
              </w:rPr>
              <w:t>реализацию инфраструктурных проектов</w:t>
            </w:r>
            <w:bookmarkStart w:id="6" w:name="_Hlk916034381"/>
            <w:bookmarkEnd w:id="5"/>
            <w:bookmarkEnd w:id="6"/>
          </w:p>
        </w:tc>
      </w:tr>
    </w:tbl>
    <w:p>
      <w:pPr>
        <w:pStyle w:val="Normal"/>
        <w:tabs>
          <w:tab w:val="clear" w:pos="708"/>
          <w:tab w:val="left" w:pos="2842" w:leader="none"/>
        </w:tabs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Fonts w:ascii="Times New Roman" w:hAnsi="Times New Roman" w:eastAsia="Times New Roman"/>
          <w:sz w:val="16"/>
          <w:szCs w:val="16"/>
        </w:rPr>
      </w:pPr>
      <w:r>
        <w:rPr>
          <w:rFonts w:eastAsia="Times New Roman" w:ascii="Times New Roman" w:hAnsi="Times New Roman"/>
          <w:sz w:val="16"/>
          <w:szCs w:val="16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eastAsia="Times New Roman" w:ascii="Times New Roman" w:hAnsi="Times New Roman"/>
          <w:sz w:val="28"/>
          <w:szCs w:val="28"/>
        </w:rPr>
        <w:t>ОТЧЕТ</w:t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Style w:val="2"/>
          <w:rFonts w:eastAsia="Times New Roman"/>
        </w:rPr>
      </w:pPr>
      <w:r>
        <w:rPr>
          <w:rFonts w:eastAsia="Times New Roman" w:ascii="Times New Roman" w:hAnsi="Times New Roman"/>
          <w:sz w:val="28"/>
          <w:szCs w:val="28"/>
        </w:rPr>
        <w:t xml:space="preserve">об использовании бюджетных средств на </w:t>
      </w:r>
      <w:r>
        <w:rPr>
          <w:rStyle w:val="2"/>
          <w:color w:val="000000"/>
        </w:rPr>
        <w:t>реализацию инфраструктурных проектов</w:t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center"/>
        <w:rPr>
          <w:rStyle w:val="2"/>
          <w:color w:val="000000"/>
        </w:rPr>
      </w:pPr>
      <w:r>
        <w:rPr>
          <w:rStyle w:val="2"/>
          <w:color w:val="000000"/>
        </w:rPr>
        <w:t>за ________20_года</w:t>
      </w:r>
    </w:p>
    <w:p>
      <w:pPr>
        <w:pStyle w:val="Normal"/>
        <w:tabs>
          <w:tab w:val="clear" w:pos="708"/>
          <w:tab w:val="left" w:pos="2842" w:leader="none"/>
        </w:tabs>
        <w:jc w:val="center"/>
        <w:rPr>
          <w:rStyle w:val="2"/>
          <w:color w:val="000000"/>
        </w:rPr>
      </w:pPr>
      <w:r>
        <w:rPr>
          <w:rStyle w:val="2"/>
          <w:color w:val="000000"/>
        </w:rPr>
        <w:t>по состоянию на 1____________20_года</w:t>
      </w:r>
    </w:p>
    <w:tbl>
      <w:tblPr>
        <w:tblStyle w:val="a4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0"/>
        <w:gridCol w:w="1200"/>
        <w:gridCol w:w="1118"/>
        <w:gridCol w:w="505"/>
        <w:gridCol w:w="899"/>
        <w:gridCol w:w="905"/>
        <w:gridCol w:w="934"/>
        <w:gridCol w:w="785"/>
        <w:gridCol w:w="1432"/>
        <w:gridCol w:w="1196"/>
      </w:tblGrid>
      <w:tr>
        <w:trPr/>
        <w:tc>
          <w:tcPr>
            <w:tcW w:w="370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 xml:space="preserve">№ </w:t>
            </w: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пп</w:t>
            </w:r>
          </w:p>
        </w:tc>
        <w:tc>
          <w:tcPr>
            <w:tcW w:w="1200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ind w:left="-32" w:right="-115" w:hanging="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Муниципальное образование</w:t>
            </w:r>
          </w:p>
        </w:tc>
        <w:tc>
          <w:tcPr>
            <w:tcW w:w="1118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ind w:left="-69" w:right="-104" w:hanging="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Наименование приобретаемой услуги, работы, товара</w:t>
            </w:r>
          </w:p>
        </w:tc>
        <w:tc>
          <w:tcPr>
            <w:tcW w:w="505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Кол-во</w:t>
            </w:r>
          </w:p>
        </w:tc>
        <w:tc>
          <w:tcPr>
            <w:tcW w:w="899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ind w:left="-32" w:right="-72" w:hanging="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Стоимость, тыс.руб.</w:t>
            </w:r>
          </w:p>
        </w:tc>
        <w:tc>
          <w:tcPr>
            <w:tcW w:w="905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Поступило средств из областного бюджета, рублей</w:t>
            </w:r>
          </w:p>
        </w:tc>
        <w:tc>
          <w:tcPr>
            <w:tcW w:w="3151" w:type="dxa"/>
            <w:gridSpan w:val="3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Профинансировано, рублей</w:t>
            </w:r>
          </w:p>
        </w:tc>
        <w:tc>
          <w:tcPr>
            <w:tcW w:w="1196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ind w:left="-93" w:hanging="0"/>
              <w:jc w:val="center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eastAsia="Times New Roman" w:ascii="Times New Roman" w:hAnsi="Times New Roman"/>
                <w:kern w:val="0"/>
                <w:sz w:val="26"/>
                <w:szCs w:val="26"/>
                <w:lang w:val="ru-RU" w:bidi="ar-SA"/>
              </w:rPr>
              <w:t>Остаток средств областного бюджета в бюджете муниципального образования, рублей</w:t>
            </w:r>
          </w:p>
        </w:tc>
      </w:tr>
      <w:tr>
        <w:trPr/>
        <w:tc>
          <w:tcPr>
            <w:tcW w:w="370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200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118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505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899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905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93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ind w:left="-46" w:right="-144" w:hanging="0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  <w:t>за счет средств областного бюджета</w:t>
            </w:r>
          </w:p>
        </w:tc>
        <w:tc>
          <w:tcPr>
            <w:tcW w:w="78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ind w:left="-68" w:right="-63" w:hanging="0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  <w:t>за счет средств местного бюджета</w:t>
            </w:r>
          </w:p>
        </w:tc>
        <w:tc>
          <w:tcPr>
            <w:tcW w:w="143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ind w:left="-76" w:right="10" w:hanging="0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  <w:t>% софинансирования за счет средств местного бюджета</w:t>
            </w:r>
          </w:p>
        </w:tc>
        <w:tc>
          <w:tcPr>
            <w:tcW w:w="1196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37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  <w:t>1.</w:t>
            </w:r>
          </w:p>
        </w:tc>
        <w:tc>
          <w:tcPr>
            <w:tcW w:w="120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11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50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89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934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78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43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19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842" w:leader="none"/>
              </w:tabs>
              <w:spacing w:before="0" w:after="20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</w:tr>
    </w:tbl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both"/>
        <w:rPr>
          <w:rFonts w:ascii="Times New Roman" w:hAnsi="Times New Roman" w:eastAsia="Times New Roman"/>
          <w:sz w:val="16"/>
          <w:szCs w:val="16"/>
        </w:rPr>
      </w:pPr>
      <w:r>
        <w:rPr>
          <w:rFonts w:eastAsia="Times New Roman" w:ascii="Times New Roman" w:hAnsi="Times New Roman"/>
          <w:sz w:val="16"/>
          <w:szCs w:val="16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Директор департамента______________________(Ф.И.О.)</w:t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both"/>
        <w:rPr>
          <w:rFonts w:ascii="Times New Roman" w:hAnsi="Times New Roman" w:eastAsia="Times New Roman"/>
          <w:sz w:val="16"/>
          <w:szCs w:val="16"/>
        </w:rPr>
      </w:pPr>
      <w:r>
        <w:rPr>
          <w:rFonts w:eastAsia="Times New Roman"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eastAsia="Times New Roman" w:ascii="Times New Roman" w:hAnsi="Times New Roman"/>
          <w:sz w:val="16"/>
          <w:szCs w:val="16"/>
        </w:rPr>
        <w:t>(подпись)</w:t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both"/>
        <w:rPr>
          <w:rFonts w:ascii="Times New Roman" w:hAnsi="Times New Roman" w:eastAsia="Times New Roman"/>
          <w:sz w:val="16"/>
          <w:szCs w:val="16"/>
        </w:rPr>
      </w:pPr>
      <w:r>
        <w:rPr>
          <w:rFonts w:eastAsia="Times New Roman" w:ascii="Times New Roman" w:hAnsi="Times New Roman"/>
          <w:sz w:val="16"/>
          <w:szCs w:val="16"/>
        </w:rPr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Исполнитель___________________(Ф.И.О.)</w:t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both"/>
        <w:rPr>
          <w:rFonts w:ascii="Times New Roman" w:hAnsi="Times New Roman" w:eastAsia="Times New Roman"/>
          <w:sz w:val="16"/>
          <w:szCs w:val="16"/>
        </w:rPr>
      </w:pPr>
      <w:r>
        <w:rPr>
          <w:rFonts w:eastAsia="Times New Roman" w:ascii="Times New Roman" w:hAnsi="Times New Roman"/>
          <w:sz w:val="16"/>
          <w:szCs w:val="16"/>
        </w:rPr>
        <w:t xml:space="preserve">                                                            </w:t>
      </w:r>
      <w:r>
        <w:rPr>
          <w:rFonts w:eastAsia="Times New Roman" w:ascii="Times New Roman" w:hAnsi="Times New Roman"/>
          <w:sz w:val="16"/>
          <w:szCs w:val="16"/>
        </w:rPr>
        <w:t>(подпись)</w:t>
      </w:r>
    </w:p>
    <w:p>
      <w:pPr>
        <w:pStyle w:val="Normal"/>
        <w:tabs>
          <w:tab w:val="clear" w:pos="708"/>
          <w:tab w:val="left" w:pos="2842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тел._________________</w:t>
      </w:r>
      <w:r>
        <w:rPr/>
        <w:t xml:space="preserve"> </w:t>
      </w:r>
    </w:p>
    <w:sectPr>
      <w:type w:val="nextPage"/>
      <w:pgSz w:w="11906" w:h="16838"/>
      <w:pgMar w:left="1701" w:right="851" w:header="0" w:top="567" w:footer="0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3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4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5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6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7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  <w:lvl w:ilvl="8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rFonts w:ascii="Times New Roman" w:hAnsi="Times New Roman" w:cs="Times New Roman"/>
        <w:color w:val="00000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7e638f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(2)_"/>
    <w:basedOn w:val="DefaultParagraphFont"/>
    <w:link w:val="20"/>
    <w:uiPriority w:val="99"/>
    <w:qFormat/>
    <w:locked/>
    <w:rsid w:val="007e638f"/>
    <w:rPr>
      <w:rFonts w:ascii="Times New Roman" w:hAnsi="Times New Roman" w:cs="Times New Roman"/>
      <w:sz w:val="28"/>
      <w:szCs w:val="28"/>
      <w:shd w:fill="FFFFFF" w:val="clear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7e638f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7e638f"/>
    <w:pPr>
      <w:spacing w:before="0" w:after="200"/>
      <w:ind w:left="720" w:hanging="0"/>
      <w:contextualSpacing/>
    </w:pPr>
    <w:rPr>
      <w:lang w:eastAsia="en-US"/>
    </w:rPr>
  </w:style>
  <w:style w:type="paragraph" w:styleId="21" w:customStyle="1">
    <w:name w:val="Основной текст (2)"/>
    <w:basedOn w:val="Normal"/>
    <w:link w:val="2"/>
    <w:uiPriority w:val="99"/>
    <w:qFormat/>
    <w:rsid w:val="007e638f"/>
    <w:pPr>
      <w:widowControl w:val="false"/>
      <w:shd w:val="clear" w:color="auto" w:fill="FFFFFF"/>
      <w:spacing w:lineRule="exact" w:line="322" w:before="0" w:after="120"/>
    </w:pPr>
    <w:rPr>
      <w:rFonts w:ascii="Times New Roman" w:hAnsi="Times New Roman" w:eastAsia="Calibri" w:eastAsiaTheme="minorHAnsi"/>
      <w:sz w:val="28"/>
      <w:szCs w:val="28"/>
      <w:lang w:eastAsia="en-US"/>
    </w:rPr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e63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LibreOffice/7.0.1.2$Windows_X86_64 LibreOffice_project/7cbcfc562f6eb6708b5ff7d7397325de9e764452</Application>
  <Pages>7</Pages>
  <Words>1638</Words>
  <Characters>12879</Characters>
  <CharactersWithSpaces>14625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2022-03-09T14:32:00Z</dcterms:created>
  <dc:creator>DPTS-FIN</dc:creator>
  <dc:description/>
  <dc:language>ru-RU</dc:language>
  <cp:lastModifiedBy/>
  <dcterms:modified xsi:type="dcterms:W3CDTF">2022-10-26T09:57:55Z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